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7E" w:rsidRPr="0080744D" w:rsidRDefault="002B167E" w:rsidP="002B16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0744D">
        <w:rPr>
          <w:rFonts w:ascii="TimesNewRomanPSMT" w:hAnsi="TimesNewRomanPSMT" w:cs="TimesNewRomanPSMT"/>
        </w:rPr>
        <w:t>РУССКИЙ ЯЗЫК, 11 класс</w:t>
      </w:r>
      <w:r w:rsidR="0080744D">
        <w:rPr>
          <w:rFonts w:ascii="TimesNewRomanPSMT" w:hAnsi="TimesNewRomanPSMT" w:cs="TimesNewRomanPSMT"/>
        </w:rPr>
        <w:t xml:space="preserve">                                                                </w:t>
      </w:r>
      <w:r w:rsidR="00B375C9">
        <w:rPr>
          <w:rFonts w:ascii="TimesNewRomanPSMT" w:hAnsi="TimesNewRomanPSMT" w:cs="TimesNewRomanPSMT"/>
        </w:rPr>
        <w:t xml:space="preserve">                            2014</w:t>
      </w:r>
      <w:r w:rsidR="0080744D">
        <w:rPr>
          <w:rFonts w:ascii="TimesNewRomanPSMT" w:hAnsi="TimesNewRomanPSMT" w:cs="TimesNewRomanPSMT"/>
        </w:rPr>
        <w:t xml:space="preserve"> г.</w:t>
      </w:r>
    </w:p>
    <w:p w:rsidR="002B167E" w:rsidRPr="00FF3FC1" w:rsidRDefault="002B167E" w:rsidP="002B16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>Кодификатор</w:t>
      </w:r>
    </w:p>
    <w:p w:rsidR="002B167E" w:rsidRPr="00FF3FC1" w:rsidRDefault="002B167E" w:rsidP="002B16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>элементов содержания и требований к уровню подготовки выпускников</w:t>
      </w:r>
    </w:p>
    <w:p w:rsidR="002B167E" w:rsidRPr="00FF3FC1" w:rsidRDefault="002B167E" w:rsidP="002B16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>общеобразовательных учреждений для проведения в 201</w:t>
      </w:r>
      <w:r w:rsidR="000A4A65"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году единого</w:t>
      </w:r>
    </w:p>
    <w:p w:rsidR="002B167E" w:rsidRPr="00B375C9" w:rsidRDefault="002B167E" w:rsidP="002B16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>государственного экзамена по РУССКОМУ ЯЗЫКУ</w:t>
      </w:r>
    </w:p>
    <w:p w:rsidR="002947A0" w:rsidRPr="00B375C9" w:rsidRDefault="002947A0" w:rsidP="002B16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082D0E" w:rsidRPr="00FF3FC1" w:rsidRDefault="002B167E" w:rsidP="002B1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F3FC1">
        <w:rPr>
          <w:rFonts w:ascii="TimesNewRomanPSMT" w:hAnsi="TimesNewRomanPSMT" w:cs="TimesNewRomanPSMT"/>
          <w:sz w:val="24"/>
          <w:szCs w:val="24"/>
        </w:rPr>
        <w:t>Кодификатор элементов содержания и требований к уровню подготовки по русскому языку для составления контрольных измерительных материалов единого государственного экзамена 201</w:t>
      </w:r>
      <w:r w:rsidR="00B375C9">
        <w:rPr>
          <w:rFonts w:ascii="TimesNewRomanPSMT" w:hAnsi="TimesNewRomanPSMT" w:cs="TimesNewRomanPSMT"/>
          <w:sz w:val="24"/>
          <w:szCs w:val="24"/>
        </w:rPr>
        <w:t>4</w:t>
      </w:r>
      <w:bookmarkStart w:id="0" w:name="_GoBack"/>
      <w:bookmarkEnd w:id="0"/>
      <w:r w:rsidRPr="00FF3FC1">
        <w:rPr>
          <w:rFonts w:ascii="TimesNewRomanPSMT" w:hAnsi="TimesNewRomanPSMT" w:cs="TimesNewRomanPSMT"/>
          <w:sz w:val="24"/>
          <w:szCs w:val="24"/>
        </w:rPr>
        <w:t xml:space="preserve"> года (далее – кодификатор) является одним из документов, регламентирующих разработку КИМ ЕГЭ.</w:t>
      </w:r>
      <w:r w:rsidR="002947A0" w:rsidRPr="00FF3FC1">
        <w:rPr>
          <w:rFonts w:ascii="TimesNewRomanPSMT" w:hAnsi="TimesNewRomanPSMT" w:cs="TimesNewRomanPSMT"/>
          <w:sz w:val="24"/>
          <w:szCs w:val="24"/>
        </w:rPr>
        <w:t xml:space="preserve"> Он составлен на основе государственных стандартов основного общего и среднег</w:t>
      </w:r>
      <w:proofErr w:type="gramStart"/>
      <w:r w:rsidR="002947A0" w:rsidRPr="00FF3FC1">
        <w:rPr>
          <w:rFonts w:ascii="TimesNewRomanPSMT" w:hAnsi="TimesNewRomanPSMT" w:cs="TimesNewRomanPSMT"/>
          <w:sz w:val="24"/>
          <w:szCs w:val="24"/>
        </w:rPr>
        <w:t>о(</w:t>
      </w:r>
      <w:proofErr w:type="gramEnd"/>
      <w:r w:rsidR="002947A0" w:rsidRPr="00FF3FC1">
        <w:rPr>
          <w:rFonts w:ascii="TimesNewRomanPSMT" w:hAnsi="TimesNewRomanPSMT" w:cs="TimesNewRomanPSMT"/>
          <w:sz w:val="24"/>
          <w:szCs w:val="24"/>
        </w:rPr>
        <w:t>полного) общего образования по русскому языку базового и профильного уровней.</w:t>
      </w:r>
    </w:p>
    <w:p w:rsidR="000A4A65" w:rsidRPr="00FF3FC1" w:rsidRDefault="002947A0" w:rsidP="000A4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F3FC1">
        <w:rPr>
          <w:rFonts w:ascii="TimesNewRomanPSMT" w:hAnsi="TimesNewRomanPSMT" w:cs="TimesNewRomanPSMT"/>
          <w:sz w:val="24"/>
          <w:szCs w:val="24"/>
        </w:rPr>
        <w:t>Данный документ является основой для составления экзаменационных материалов за курс  средней (полной) школы  по русскому языку и поэтому построен на принципах обобщения и систематизации учебного материала.</w:t>
      </w:r>
      <w:r w:rsidR="000A4A65" w:rsidRPr="00FF3FC1">
        <w:rPr>
          <w:rFonts w:ascii="TimesNewRomanPSMT" w:hAnsi="TimesNewRomanPSMT" w:cs="TimesNewRomanPSMT"/>
          <w:sz w:val="24"/>
          <w:szCs w:val="24"/>
        </w:rPr>
        <w:tab/>
        <w:t xml:space="preserve"> </w:t>
      </w:r>
    </w:p>
    <w:p w:rsidR="002947A0" w:rsidRPr="00FF3FC1" w:rsidRDefault="002947A0" w:rsidP="000A4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F3FC1">
        <w:rPr>
          <w:rFonts w:ascii="TimesNewRomanPSMT" w:hAnsi="TimesNewRomanPSMT" w:cs="TimesNewRomanPSMT"/>
          <w:sz w:val="24"/>
          <w:szCs w:val="24"/>
        </w:rPr>
        <w:t>Жирным курсивом указываются крупные блоки содержания, которые</w:t>
      </w:r>
      <w:r w:rsidR="000A4A65" w:rsidRPr="00FF3F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FF3FC1">
        <w:rPr>
          <w:rFonts w:ascii="TimesNewRomanPSMT" w:hAnsi="TimesNewRomanPSMT" w:cs="TimesNewRomanPSMT"/>
          <w:sz w:val="24"/>
          <w:szCs w:val="24"/>
        </w:rPr>
        <w:t>ниже</w:t>
      </w:r>
      <w:r w:rsidR="000A4A65" w:rsidRPr="00FF3F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FF3FC1">
        <w:rPr>
          <w:rFonts w:ascii="TimesNewRomanPSMT" w:hAnsi="TimesNewRomanPSMT" w:cs="TimesNewRomanPSMT"/>
          <w:sz w:val="24"/>
          <w:szCs w:val="24"/>
        </w:rPr>
        <w:t>разбиты на более мелкие элементы. Каждая из этих позиций</w:t>
      </w:r>
      <w:r w:rsidR="000A4A65" w:rsidRPr="00FF3F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FF3FC1">
        <w:rPr>
          <w:rFonts w:ascii="TimesNewRomanPSMT" w:hAnsi="TimesNewRomanPSMT" w:cs="TimesNewRomanPSMT"/>
          <w:sz w:val="24"/>
          <w:szCs w:val="24"/>
        </w:rPr>
        <w:t>кодификатора представляет собой укрупненную дидактическую единицу</w:t>
      </w:r>
      <w:r w:rsidR="000A4A65" w:rsidRPr="00FF3F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FF3FC1">
        <w:rPr>
          <w:rFonts w:ascii="TimesNewRomanPSMT" w:hAnsi="TimesNewRomanPSMT" w:cs="TimesNewRomanPSMT"/>
          <w:sz w:val="24"/>
          <w:szCs w:val="24"/>
        </w:rPr>
        <w:t>содержания обучения, которая может включать несколько тематических</w:t>
      </w:r>
      <w:r w:rsidR="000A4A65" w:rsidRPr="00FF3F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FF3FC1">
        <w:rPr>
          <w:rFonts w:ascii="TimesNewRomanPSMT" w:hAnsi="TimesNewRomanPSMT" w:cs="TimesNewRomanPSMT"/>
          <w:sz w:val="24"/>
          <w:szCs w:val="24"/>
        </w:rPr>
        <w:t>единиц. Во втором столбце указывается код элемента содержания, для</w:t>
      </w:r>
      <w:r w:rsidR="000A4A65" w:rsidRPr="00FF3F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FF3FC1">
        <w:rPr>
          <w:rFonts w:ascii="TimesNewRomanPSMT" w:hAnsi="TimesNewRomanPSMT" w:cs="TimesNewRomanPSMT"/>
          <w:sz w:val="24"/>
          <w:szCs w:val="24"/>
        </w:rPr>
        <w:t>которого создаются проверочные задания.</w:t>
      </w:r>
    </w:p>
    <w:p w:rsidR="000A4A65" w:rsidRPr="0080360E" w:rsidRDefault="000A4A65" w:rsidP="000A4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0A4A65" w:rsidRPr="00FF3FC1" w:rsidRDefault="000A4A65" w:rsidP="000A4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Раздел 1. Перечень элементов содержания, проверяемых на </w:t>
      </w:r>
      <w:proofErr w:type="gramStart"/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>едином</w:t>
      </w:r>
      <w:proofErr w:type="gramEnd"/>
    </w:p>
    <w:p w:rsidR="000A4A65" w:rsidRPr="00FF3FC1" w:rsidRDefault="000A4A65" w:rsidP="000A4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государственном </w:t>
      </w:r>
      <w:proofErr w:type="gramStart"/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>экзамене</w:t>
      </w:r>
      <w:proofErr w:type="gramEnd"/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 русскому языку</w:t>
      </w:r>
    </w:p>
    <w:p w:rsidR="000A4A65" w:rsidRPr="0080360E" w:rsidRDefault="000A4A65" w:rsidP="000A4A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B5129" w:rsidRPr="00FF3FC1" w:rsidRDefault="000A4A65" w:rsidP="000A4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F3FC1">
        <w:rPr>
          <w:rFonts w:ascii="TimesNewRomanPSMT" w:hAnsi="TimesNewRomanPSMT" w:cs="TimesNewRomanPSMT"/>
          <w:sz w:val="24"/>
          <w:szCs w:val="24"/>
        </w:rPr>
        <w:t xml:space="preserve">           Перечень элементов содержания, проверяемых на едином государственном экзамене по русскому языку, составлен на основе государственных стандартов основного общего и среднего (полного) общего образования по русскому языку</w:t>
      </w:r>
      <w:r w:rsidR="00FF3FC1">
        <w:rPr>
          <w:rFonts w:ascii="TimesNewRomanPSMT" w:hAnsi="TimesNewRomanPSMT" w:cs="TimesNewRomanPSMT"/>
          <w:sz w:val="24"/>
          <w:szCs w:val="24"/>
        </w:rPr>
        <w:t xml:space="preserve"> базового и профильного уровней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0"/>
        <w:gridCol w:w="1662"/>
        <w:gridCol w:w="7153"/>
      </w:tblGrid>
      <w:tr w:rsidR="00DB5129" w:rsidRPr="0080360E" w:rsidTr="0080360E">
        <w:tc>
          <w:tcPr>
            <w:tcW w:w="910" w:type="dxa"/>
          </w:tcPr>
          <w:p w:rsidR="00DB5129" w:rsidRPr="0080360E" w:rsidRDefault="00DB5129" w:rsidP="0080360E">
            <w:pPr>
              <w:autoSpaceDE w:val="0"/>
              <w:autoSpaceDN w:val="0"/>
              <w:adjustRightInd w:val="0"/>
              <w:ind w:left="-56" w:right="-104"/>
              <w:jc w:val="both"/>
              <w:rPr>
                <w:rFonts w:ascii="TimesNewRomanPSMT" w:hAnsi="TimesNewRomanPSMT" w:cs="TimesNewRomanPSMT"/>
                <w:b/>
              </w:rPr>
            </w:pPr>
            <w:r w:rsidRPr="0080360E">
              <w:rPr>
                <w:rFonts w:ascii="TimesNewRomanPSMT" w:hAnsi="TimesNewRomanPSMT" w:cs="TimesNewRomanPSMT"/>
                <w:b/>
              </w:rPr>
              <w:t>Код раздела</w:t>
            </w:r>
          </w:p>
        </w:tc>
        <w:tc>
          <w:tcPr>
            <w:tcW w:w="1662" w:type="dxa"/>
          </w:tcPr>
          <w:p w:rsidR="00DB5129" w:rsidRPr="0080360E" w:rsidRDefault="00DB5129" w:rsidP="0080360E">
            <w:pPr>
              <w:autoSpaceDE w:val="0"/>
              <w:autoSpaceDN w:val="0"/>
              <w:adjustRightInd w:val="0"/>
              <w:ind w:left="-70" w:right="-108"/>
              <w:jc w:val="both"/>
              <w:rPr>
                <w:rFonts w:ascii="TimesNewRomanPSMT" w:hAnsi="TimesNewRomanPSMT" w:cs="TimesNewRomanPSMT"/>
                <w:b/>
              </w:rPr>
            </w:pPr>
            <w:r w:rsidRPr="0080360E">
              <w:rPr>
                <w:rFonts w:ascii="TimesNewRomanPSMT" w:hAnsi="TimesNewRomanPSMT" w:cs="TimesNewRomanPSMT"/>
                <w:b/>
              </w:rPr>
              <w:t>Код контролируемого элемента</w:t>
            </w:r>
          </w:p>
        </w:tc>
        <w:tc>
          <w:tcPr>
            <w:tcW w:w="7149" w:type="dxa"/>
          </w:tcPr>
          <w:p w:rsidR="00DB5129" w:rsidRPr="0080360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80360E">
              <w:rPr>
                <w:rFonts w:ascii="TimesNewRomanPSMT" w:hAnsi="TimesNewRomanPSMT" w:cs="TimesNewRomanPSMT"/>
                <w:b/>
              </w:rPr>
              <w:t>Элементы содержания, проверяемые заданиями КИМ</w:t>
            </w:r>
          </w:p>
        </w:tc>
      </w:tr>
      <w:tr w:rsidR="00DB5129" w:rsidRPr="00BE572E" w:rsidTr="0080360E">
        <w:tc>
          <w:tcPr>
            <w:tcW w:w="910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49" w:type="dxa"/>
          </w:tcPr>
          <w:p w:rsidR="00DB5129" w:rsidRPr="00BE572E" w:rsidRDefault="00BE572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Ф</w:t>
            </w:r>
            <w:r w:rsidR="00DB5129" w:rsidRPr="00BE572E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онетика</w:t>
            </w:r>
          </w:p>
        </w:tc>
      </w:tr>
      <w:tr w:rsidR="00DB5129" w:rsidRPr="00BE572E" w:rsidTr="0080360E">
        <w:tc>
          <w:tcPr>
            <w:tcW w:w="910" w:type="dxa"/>
            <w:vMerge w:val="restart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7149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Звуки и буквы</w:t>
            </w:r>
          </w:p>
        </w:tc>
      </w:tr>
      <w:tr w:rsidR="00DB5129" w:rsidRPr="00BE572E" w:rsidTr="0080360E">
        <w:tc>
          <w:tcPr>
            <w:tcW w:w="910" w:type="dxa"/>
            <w:vMerge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1.2</w:t>
            </w:r>
          </w:p>
        </w:tc>
        <w:tc>
          <w:tcPr>
            <w:tcW w:w="7149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Фонетический анализ слова</w:t>
            </w:r>
          </w:p>
        </w:tc>
      </w:tr>
      <w:tr w:rsidR="00DB5129" w:rsidRPr="00BE572E" w:rsidTr="0080360E">
        <w:tc>
          <w:tcPr>
            <w:tcW w:w="910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49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BE572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Лексика и фразеология</w:t>
            </w:r>
          </w:p>
        </w:tc>
      </w:tr>
      <w:tr w:rsidR="00DB5129" w:rsidRPr="00BE572E" w:rsidTr="0080360E">
        <w:tc>
          <w:tcPr>
            <w:tcW w:w="910" w:type="dxa"/>
            <w:vMerge w:val="restart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7149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Лексическое значение слова</w:t>
            </w:r>
          </w:p>
        </w:tc>
      </w:tr>
      <w:tr w:rsidR="00DB5129" w:rsidRPr="00BE572E" w:rsidTr="0080360E">
        <w:tc>
          <w:tcPr>
            <w:tcW w:w="910" w:type="dxa"/>
            <w:vMerge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7149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Синонимы.</w:t>
            </w:r>
            <w:r w:rsidR="00BE572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Антонимы.</w:t>
            </w:r>
            <w:r w:rsidR="00BE572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Омонимы.</w:t>
            </w:r>
          </w:p>
        </w:tc>
      </w:tr>
      <w:tr w:rsidR="00DB5129" w:rsidRPr="00BE572E" w:rsidTr="0080360E">
        <w:tc>
          <w:tcPr>
            <w:tcW w:w="910" w:type="dxa"/>
            <w:vMerge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</w:p>
        </w:tc>
        <w:tc>
          <w:tcPr>
            <w:tcW w:w="7149" w:type="dxa"/>
          </w:tcPr>
          <w:p w:rsidR="00DB5129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Фразеологические обороты</w:t>
            </w:r>
          </w:p>
        </w:tc>
      </w:tr>
      <w:tr w:rsidR="00DB5129" w:rsidRPr="00BE572E" w:rsidTr="0080360E">
        <w:tc>
          <w:tcPr>
            <w:tcW w:w="910" w:type="dxa"/>
            <w:vMerge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2.4</w:t>
            </w:r>
          </w:p>
        </w:tc>
        <w:tc>
          <w:tcPr>
            <w:tcW w:w="7149" w:type="dxa"/>
          </w:tcPr>
          <w:p w:rsidR="00DB5129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Группы слов по происхождению и употреблению</w:t>
            </w:r>
          </w:p>
        </w:tc>
      </w:tr>
      <w:tr w:rsidR="00DB5129" w:rsidRPr="00BE572E" w:rsidTr="0080360E">
        <w:tc>
          <w:tcPr>
            <w:tcW w:w="910" w:type="dxa"/>
            <w:vMerge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</w:p>
        </w:tc>
        <w:tc>
          <w:tcPr>
            <w:tcW w:w="7149" w:type="dxa"/>
          </w:tcPr>
          <w:p w:rsidR="00DB5129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Лексический анализ</w:t>
            </w:r>
          </w:p>
        </w:tc>
      </w:tr>
      <w:tr w:rsidR="00DB5129" w:rsidRPr="00BE572E" w:rsidTr="0080360E">
        <w:tc>
          <w:tcPr>
            <w:tcW w:w="910" w:type="dxa"/>
          </w:tcPr>
          <w:p w:rsidR="00DB5129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49" w:type="dxa"/>
          </w:tcPr>
          <w:p w:rsidR="00DB5129" w:rsidRPr="00EB1E91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proofErr w:type="spellStart"/>
            <w:r w:rsidRPr="00EB1E91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Морфемика</w:t>
            </w:r>
            <w:proofErr w:type="spellEnd"/>
            <w:r w:rsidRPr="00EB1E91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 и словообразование</w:t>
            </w:r>
          </w:p>
        </w:tc>
      </w:tr>
      <w:tr w:rsidR="00EB1E91" w:rsidRPr="00BE572E" w:rsidTr="0080360E">
        <w:tc>
          <w:tcPr>
            <w:tcW w:w="910" w:type="dxa"/>
            <w:vMerge w:val="restart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</w:t>
            </w:r>
          </w:p>
        </w:tc>
        <w:tc>
          <w:tcPr>
            <w:tcW w:w="7149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Значимые части слов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а(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морфемы)</w:t>
            </w:r>
          </w:p>
        </w:tc>
      </w:tr>
      <w:tr w:rsidR="00EB1E91" w:rsidRPr="00BE572E" w:rsidTr="0080360E">
        <w:tc>
          <w:tcPr>
            <w:tcW w:w="910" w:type="dxa"/>
            <w:vMerge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</w:t>
            </w:r>
          </w:p>
        </w:tc>
        <w:tc>
          <w:tcPr>
            <w:tcW w:w="7149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Морфемный анализ слова</w:t>
            </w:r>
          </w:p>
        </w:tc>
      </w:tr>
      <w:tr w:rsidR="00EB1E91" w:rsidRPr="00BE572E" w:rsidTr="0080360E">
        <w:tc>
          <w:tcPr>
            <w:tcW w:w="910" w:type="dxa"/>
            <w:vMerge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</w:tc>
        <w:tc>
          <w:tcPr>
            <w:tcW w:w="7149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Основные способы словообразования</w:t>
            </w:r>
          </w:p>
        </w:tc>
      </w:tr>
      <w:tr w:rsidR="00EB1E91" w:rsidRPr="00BE572E" w:rsidTr="0080360E">
        <w:tc>
          <w:tcPr>
            <w:tcW w:w="910" w:type="dxa"/>
            <w:vMerge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</w:t>
            </w:r>
          </w:p>
        </w:tc>
        <w:tc>
          <w:tcPr>
            <w:tcW w:w="7149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Словообразовательный анализ слова</w:t>
            </w:r>
          </w:p>
        </w:tc>
      </w:tr>
      <w:tr w:rsidR="00DB5129" w:rsidRPr="00BE572E" w:rsidTr="0080360E">
        <w:tc>
          <w:tcPr>
            <w:tcW w:w="910" w:type="dxa"/>
          </w:tcPr>
          <w:p w:rsidR="00DB5129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49" w:type="dxa"/>
          </w:tcPr>
          <w:p w:rsidR="00DB5129" w:rsidRPr="00EB1E91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 w:rsidRPr="00EB1E91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Грамматика. Морфология.</w:t>
            </w:r>
          </w:p>
        </w:tc>
      </w:tr>
      <w:tr w:rsidR="00EB1E91" w:rsidRPr="00BE572E" w:rsidTr="0080360E">
        <w:tc>
          <w:tcPr>
            <w:tcW w:w="910" w:type="dxa"/>
            <w:vMerge w:val="restart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</w:t>
            </w:r>
          </w:p>
        </w:tc>
        <w:tc>
          <w:tcPr>
            <w:tcW w:w="7149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Самостоятельные части речи</w:t>
            </w:r>
          </w:p>
        </w:tc>
      </w:tr>
      <w:tr w:rsidR="00EB1E91" w:rsidRPr="00BE572E" w:rsidTr="0080360E">
        <w:tc>
          <w:tcPr>
            <w:tcW w:w="910" w:type="dxa"/>
            <w:vMerge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4.2</w:t>
            </w:r>
          </w:p>
        </w:tc>
        <w:tc>
          <w:tcPr>
            <w:tcW w:w="7149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Служебные части речи</w:t>
            </w:r>
          </w:p>
        </w:tc>
      </w:tr>
      <w:tr w:rsidR="00EB1E91" w:rsidRPr="00BE572E" w:rsidTr="0080360E">
        <w:tc>
          <w:tcPr>
            <w:tcW w:w="910" w:type="dxa"/>
            <w:vMerge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</w:t>
            </w:r>
          </w:p>
        </w:tc>
        <w:tc>
          <w:tcPr>
            <w:tcW w:w="7149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Морфологический анализ сова</w:t>
            </w:r>
          </w:p>
        </w:tc>
      </w:tr>
      <w:tr w:rsidR="00DB5129" w:rsidRPr="00BE572E" w:rsidTr="0080360E">
        <w:tc>
          <w:tcPr>
            <w:tcW w:w="910" w:type="dxa"/>
          </w:tcPr>
          <w:p w:rsidR="00DB5129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49" w:type="dxa"/>
          </w:tcPr>
          <w:p w:rsidR="00DB5129" w:rsidRPr="00EB1E91" w:rsidRDefault="00EB1E91" w:rsidP="00C8509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 w:rsidRPr="00EB1E91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Грамматика.</w:t>
            </w:r>
            <w:r w:rsidR="00C85090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 С</w:t>
            </w:r>
            <w:r w:rsidRPr="00EB1E91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интаксис.</w:t>
            </w:r>
          </w:p>
        </w:tc>
      </w:tr>
      <w:tr w:rsidR="00C85090" w:rsidRPr="00BE572E" w:rsidTr="0080360E">
        <w:tc>
          <w:tcPr>
            <w:tcW w:w="910" w:type="dxa"/>
            <w:vMerge w:val="restart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Словосочетание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</w:t>
            </w:r>
          </w:p>
        </w:tc>
        <w:tc>
          <w:tcPr>
            <w:tcW w:w="7149" w:type="dxa"/>
          </w:tcPr>
          <w:p w:rsidR="00C85090" w:rsidRPr="00BE572E" w:rsidRDefault="00C85090" w:rsidP="0080360E">
            <w:pPr>
              <w:autoSpaceDE w:val="0"/>
              <w:autoSpaceDN w:val="0"/>
              <w:adjustRightInd w:val="0"/>
              <w:ind w:left="-66" w:right="-13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85090">
              <w:rPr>
                <w:rFonts w:ascii="TimesNewRomanPSMT" w:hAnsi="TimesNewRomanPSMT" w:cs="TimesNewRomanPSMT"/>
                <w:sz w:val="24"/>
                <w:szCs w:val="24"/>
              </w:rPr>
              <w:t>Предложение. Грамматическая (предикативная) основа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85090">
              <w:rPr>
                <w:rFonts w:ascii="TimesNewRomanPSMT" w:hAnsi="TimesNewRomanPSMT" w:cs="TimesNewRomanPSMT"/>
                <w:sz w:val="24"/>
                <w:szCs w:val="24"/>
              </w:rPr>
              <w:t>предложения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C85090">
              <w:rPr>
                <w:rFonts w:ascii="TimesNewRomanPSMT" w:hAnsi="TimesNewRomanPSMT" w:cs="TimesNewRomanPSMT"/>
                <w:sz w:val="24"/>
                <w:szCs w:val="24"/>
              </w:rPr>
              <w:t>Подлежащее и сказуемое как главные члены предложения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Второстепенные члены предложения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5.4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Двусоставные и односоставные предложения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Полные и неполные предложения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5.7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Осложнённое простое предложение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5.8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Сложное предложение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5.9</w:t>
            </w:r>
          </w:p>
        </w:tc>
        <w:tc>
          <w:tcPr>
            <w:tcW w:w="7149" w:type="dxa"/>
          </w:tcPr>
          <w:p w:rsidR="00C85090" w:rsidRPr="00BE572E" w:rsidRDefault="00C85090" w:rsidP="00C850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85090">
              <w:rPr>
                <w:rFonts w:ascii="TimesNewRomanPSMT" w:hAnsi="TimesNewRomanPSMT" w:cs="TimesNewRomanPSMT"/>
                <w:sz w:val="24"/>
                <w:szCs w:val="24"/>
              </w:rPr>
              <w:t>Сложные бессоюзные предложения. Смысловые отношения между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85090">
              <w:rPr>
                <w:rFonts w:ascii="TimesNewRomanPSMT" w:hAnsi="TimesNewRomanPSMT" w:cs="TimesNewRomanPSMT"/>
                <w:sz w:val="24"/>
                <w:szCs w:val="24"/>
              </w:rPr>
              <w:t>частями сложного бессоюзного предложения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5.10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Сложные предложения с разными видами связи между частями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5.11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Способы передачи чужой речи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5.12</w:t>
            </w:r>
          </w:p>
        </w:tc>
        <w:tc>
          <w:tcPr>
            <w:tcW w:w="7149" w:type="dxa"/>
          </w:tcPr>
          <w:p w:rsidR="00C85090" w:rsidRPr="00BE572E" w:rsidRDefault="0001374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Синтаксический анализ простого предложения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5.13</w:t>
            </w:r>
          </w:p>
        </w:tc>
        <w:tc>
          <w:tcPr>
            <w:tcW w:w="7149" w:type="dxa"/>
          </w:tcPr>
          <w:p w:rsidR="00C85090" w:rsidRPr="00BE572E" w:rsidRDefault="0001374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Синтаксический анализ сложного предложения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5.14</w:t>
            </w:r>
          </w:p>
        </w:tc>
        <w:tc>
          <w:tcPr>
            <w:tcW w:w="7149" w:type="dxa"/>
          </w:tcPr>
          <w:p w:rsidR="00C85090" w:rsidRPr="00BE572E" w:rsidRDefault="0001374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Синтаксический анали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з(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обобщение)</w:t>
            </w:r>
          </w:p>
        </w:tc>
      </w:tr>
      <w:tr w:rsidR="00985CBE" w:rsidTr="0080360E">
        <w:tc>
          <w:tcPr>
            <w:tcW w:w="910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53" w:type="dxa"/>
          </w:tcPr>
          <w:p w:rsidR="00985CBE" w:rsidRPr="00B46373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 w:rsidRPr="00B46373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Орфография</w:t>
            </w:r>
          </w:p>
        </w:tc>
      </w:tr>
      <w:tr w:rsidR="00985CBE" w:rsidTr="0080360E">
        <w:tc>
          <w:tcPr>
            <w:tcW w:w="910" w:type="dxa"/>
            <w:vMerge w:val="restart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</w:t>
            </w:r>
          </w:p>
        </w:tc>
        <w:tc>
          <w:tcPr>
            <w:tcW w:w="7153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Орфограмма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6.2</w:t>
            </w:r>
          </w:p>
        </w:tc>
        <w:tc>
          <w:tcPr>
            <w:tcW w:w="7153" w:type="dxa"/>
          </w:tcPr>
          <w:p w:rsidR="00985CBE" w:rsidRP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85CBE">
              <w:rPr>
                <w:rFonts w:ascii="TimesNewRomanPSMT" w:hAnsi="TimesNewRomanPSMT" w:cs="TimesNewRomanPSMT"/>
                <w:sz w:val="24"/>
                <w:szCs w:val="24"/>
              </w:rPr>
              <w:t>Употребление гласных букв И/</w:t>
            </w:r>
            <w:proofErr w:type="gramStart"/>
            <w:r w:rsidRPr="00985CBE">
              <w:rPr>
                <w:rFonts w:ascii="TimesNewRomanPSMT" w:hAnsi="TimesNewRomanPSMT" w:cs="TimesNewRomanPSMT"/>
                <w:sz w:val="24"/>
                <w:szCs w:val="24"/>
              </w:rPr>
              <w:t>Ы</w:t>
            </w:r>
            <w:proofErr w:type="gramEnd"/>
            <w:r w:rsidRPr="00985CBE">
              <w:rPr>
                <w:rFonts w:ascii="TimesNewRomanPSMT" w:hAnsi="TimesNewRomanPSMT" w:cs="TimesNewRomanPSMT"/>
                <w:sz w:val="24"/>
                <w:szCs w:val="24"/>
              </w:rPr>
              <w:t>, А/Я, У/Ю после шипящих и Ц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6.3</w:t>
            </w:r>
          </w:p>
        </w:tc>
        <w:tc>
          <w:tcPr>
            <w:tcW w:w="7153" w:type="dxa"/>
          </w:tcPr>
          <w:p w:rsidR="00985CBE" w:rsidRP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85CBE">
              <w:rPr>
                <w:rFonts w:ascii="TimesNewRomanPSMT" w:hAnsi="TimesNewRomanPSMT" w:cs="TimesNewRomanPSMT"/>
                <w:sz w:val="24"/>
                <w:szCs w:val="24"/>
              </w:rPr>
              <w:t xml:space="preserve">Употребление гласных букв О/Е (Ё) после шипящих и </w:t>
            </w:r>
            <w:proofErr w:type="gramStart"/>
            <w:r w:rsidRPr="00985CBE">
              <w:rPr>
                <w:rFonts w:ascii="TimesNewRomanPSMT" w:hAnsi="TimesNewRomanPSMT" w:cs="TimesNewRomanPSMT"/>
                <w:sz w:val="24"/>
                <w:szCs w:val="24"/>
              </w:rPr>
              <w:t>Ц</w:t>
            </w:r>
            <w:proofErr w:type="gramEnd"/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6.4</w:t>
            </w:r>
          </w:p>
        </w:tc>
        <w:tc>
          <w:tcPr>
            <w:tcW w:w="7153" w:type="dxa"/>
          </w:tcPr>
          <w:p w:rsidR="00985CBE" w:rsidRP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85CBE">
              <w:rPr>
                <w:rFonts w:ascii="TimesNewRomanPSMT" w:hAnsi="TimesNewRomanPSMT" w:cs="TimesNewRomanPSMT"/>
                <w:sz w:val="24"/>
                <w:szCs w:val="24"/>
              </w:rPr>
              <w:t>Употребление Ь и Ъ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6.5</w:t>
            </w:r>
          </w:p>
        </w:tc>
        <w:tc>
          <w:tcPr>
            <w:tcW w:w="7153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корней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6.6</w:t>
            </w:r>
          </w:p>
        </w:tc>
        <w:tc>
          <w:tcPr>
            <w:tcW w:w="7153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приставок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6.7</w:t>
            </w:r>
          </w:p>
        </w:tc>
        <w:tc>
          <w:tcPr>
            <w:tcW w:w="7153" w:type="dxa"/>
          </w:tcPr>
          <w:p w:rsidR="00985CBE" w:rsidRDefault="00985CBE" w:rsidP="0080360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суффиксов различных частей речи</w:t>
            </w:r>
            <w:r w:rsidR="0080360E" w:rsidRPr="0080360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(кроме-Н-/-НН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-)</w:t>
            </w:r>
            <w:proofErr w:type="gramEnd"/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6.8</w:t>
            </w:r>
          </w:p>
        </w:tc>
        <w:tc>
          <w:tcPr>
            <w:tcW w:w="7153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Правописание-Н-и-Н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Н-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 различных частях речи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6.9</w:t>
            </w:r>
          </w:p>
        </w:tc>
        <w:tc>
          <w:tcPr>
            <w:tcW w:w="7153" w:type="dxa"/>
          </w:tcPr>
          <w:p w:rsidR="00985CBE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падежных и родовых окончаний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6.10</w:t>
            </w:r>
          </w:p>
        </w:tc>
        <w:tc>
          <w:tcPr>
            <w:tcW w:w="7153" w:type="dxa"/>
          </w:tcPr>
          <w:p w:rsidR="00985CBE" w:rsidRP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6373">
              <w:rPr>
                <w:rFonts w:ascii="TimesNewRomanPSMT" w:hAnsi="TimesNewRomanPSMT" w:cs="TimesNewRomanPSMT"/>
                <w:sz w:val="24"/>
                <w:szCs w:val="24"/>
              </w:rPr>
              <w:t>Правописание личных окончаний глаголов и суффиксов причастий настоящего времени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6.11</w:t>
            </w:r>
          </w:p>
        </w:tc>
        <w:tc>
          <w:tcPr>
            <w:tcW w:w="7153" w:type="dxa"/>
          </w:tcPr>
          <w:p w:rsidR="00985CBE" w:rsidRP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6373">
              <w:rPr>
                <w:rFonts w:ascii="TimesNewRomanPSMT" w:hAnsi="TimesNewRomanPSMT" w:cs="TimesNewRomanPSMT"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6.12</w:t>
            </w:r>
          </w:p>
        </w:tc>
        <w:tc>
          <w:tcPr>
            <w:tcW w:w="7153" w:type="dxa"/>
          </w:tcPr>
          <w:p w:rsidR="00985CBE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отрицательных местоимений и наречий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6.13</w:t>
            </w:r>
          </w:p>
        </w:tc>
        <w:tc>
          <w:tcPr>
            <w:tcW w:w="7153" w:type="dxa"/>
          </w:tcPr>
          <w:p w:rsidR="00985CBE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НЕ и НИ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6.14</w:t>
            </w:r>
          </w:p>
        </w:tc>
        <w:tc>
          <w:tcPr>
            <w:tcW w:w="7153" w:type="dxa"/>
          </w:tcPr>
          <w:p w:rsidR="00985CBE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служебных слов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6.15</w:t>
            </w:r>
          </w:p>
        </w:tc>
        <w:tc>
          <w:tcPr>
            <w:tcW w:w="7153" w:type="dxa"/>
          </w:tcPr>
          <w:p w:rsidR="00985CBE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словарных слов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6.16</w:t>
            </w:r>
          </w:p>
        </w:tc>
        <w:tc>
          <w:tcPr>
            <w:tcW w:w="7153" w:type="dxa"/>
          </w:tcPr>
          <w:p w:rsidR="00985CBE" w:rsidRP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6373">
              <w:rPr>
                <w:rFonts w:ascii="TimesNewRomanPSMT" w:hAnsi="TimesNewRomanPSMT" w:cs="TimesNewRomanPSMT"/>
                <w:sz w:val="24"/>
                <w:szCs w:val="24"/>
              </w:rPr>
              <w:t>Слитное, дефисное, раздельное написание слов различных частей речи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6.17</w:t>
            </w:r>
          </w:p>
        </w:tc>
        <w:tc>
          <w:tcPr>
            <w:tcW w:w="7153" w:type="dxa"/>
          </w:tcPr>
          <w:p w:rsidR="00985CBE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Орфографический анализ</w:t>
            </w:r>
          </w:p>
        </w:tc>
      </w:tr>
      <w:tr w:rsidR="00985CBE" w:rsidTr="0080360E">
        <w:tc>
          <w:tcPr>
            <w:tcW w:w="910" w:type="dxa"/>
          </w:tcPr>
          <w:p w:rsidR="00985CBE" w:rsidRP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46373">
              <w:rPr>
                <w:rFonts w:ascii="TimesNewRomanPSMT" w:hAnsi="TimesNewRomanPSMT" w:cs="TimesNewRomanPSMT"/>
                <w:b/>
                <w:sz w:val="24"/>
                <w:szCs w:val="24"/>
              </w:rPr>
              <w:t>7</w:t>
            </w: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53" w:type="dxa"/>
          </w:tcPr>
          <w:p w:rsidR="00985CBE" w:rsidRP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 w:rsidRPr="00B46373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Пунктуация</w:t>
            </w:r>
          </w:p>
        </w:tc>
      </w:tr>
      <w:tr w:rsidR="00B46373" w:rsidTr="0080360E">
        <w:tc>
          <w:tcPr>
            <w:tcW w:w="910" w:type="dxa"/>
            <w:vMerge w:val="restart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</w:t>
            </w:r>
          </w:p>
        </w:tc>
        <w:tc>
          <w:tcPr>
            <w:tcW w:w="7153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между подлежащим и сказуемым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7.2</w:t>
            </w:r>
          </w:p>
        </w:tc>
        <w:tc>
          <w:tcPr>
            <w:tcW w:w="7153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простом осложнённом предложении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7.3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обособленных определениях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7.4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обособленных обстоятельствах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7.5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сравнительных оборотах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7.6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7.7</w:t>
            </w:r>
          </w:p>
        </w:tc>
        <w:tc>
          <w:tcPr>
            <w:tcW w:w="7153" w:type="dxa"/>
          </w:tcPr>
          <w:p w:rsidR="00B46373" w:rsidRPr="00CE135B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обособленных членах предложения (обобщение)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7.8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7.9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осложнённом предложени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и(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обобщение)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7.10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прямой речи, цитировании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7.11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сложносочинённом предложении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7.12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сложноподчинённом предложении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7.13</w:t>
            </w:r>
          </w:p>
        </w:tc>
        <w:tc>
          <w:tcPr>
            <w:tcW w:w="7153" w:type="dxa"/>
          </w:tcPr>
          <w:p w:rsidR="00B46373" w:rsidRPr="00CE135B" w:rsidRDefault="00CE135B" w:rsidP="0080360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135B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7.14</w:t>
            </w:r>
          </w:p>
        </w:tc>
        <w:tc>
          <w:tcPr>
            <w:tcW w:w="7153" w:type="dxa"/>
          </w:tcPr>
          <w:p w:rsidR="00B46373" w:rsidRPr="00CE135B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135B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бессоюзном сложном предложении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7.15</w:t>
            </w:r>
          </w:p>
        </w:tc>
        <w:tc>
          <w:tcPr>
            <w:tcW w:w="7153" w:type="dxa"/>
          </w:tcPr>
          <w:p w:rsidR="00B46373" w:rsidRPr="00CE135B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135B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сложном предложении с союзной и бессоюзной связью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7.16</w:t>
            </w:r>
          </w:p>
        </w:tc>
        <w:tc>
          <w:tcPr>
            <w:tcW w:w="7153" w:type="dxa"/>
          </w:tcPr>
          <w:p w:rsidR="00B46373" w:rsidRPr="00CE135B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CE135B">
              <w:rPr>
                <w:rFonts w:ascii="TimesNewRomanPSMT" w:hAnsi="TimesNewRomanPSMT" w:cs="TimesNewRomanPSMT"/>
                <w:sz w:val="24"/>
                <w:szCs w:val="24"/>
              </w:rPr>
              <w:t>Тире в простом и сложном предложениях</w:t>
            </w:r>
            <w:proofErr w:type="gramEnd"/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7.17</w:t>
            </w:r>
          </w:p>
        </w:tc>
        <w:tc>
          <w:tcPr>
            <w:tcW w:w="7153" w:type="dxa"/>
          </w:tcPr>
          <w:p w:rsidR="00B46373" w:rsidRPr="00CE135B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135B">
              <w:rPr>
                <w:rFonts w:ascii="TimesNewRomanPSMT" w:hAnsi="TimesNewRomanPSMT" w:cs="TimesNewRomanPSMT"/>
                <w:sz w:val="24"/>
                <w:szCs w:val="24"/>
              </w:rPr>
              <w:t>Двоеточие в простом и сложном предложениях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7.18</w:t>
            </w:r>
          </w:p>
        </w:tc>
        <w:tc>
          <w:tcPr>
            <w:tcW w:w="7153" w:type="dxa"/>
          </w:tcPr>
          <w:p w:rsidR="00B46373" w:rsidRPr="00CE135B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135B">
              <w:rPr>
                <w:rFonts w:ascii="TimesNewRomanPSMT" w:hAnsi="TimesNewRomanPSMT" w:cs="TimesNewRomanPSMT"/>
                <w:sz w:val="24"/>
                <w:szCs w:val="24"/>
              </w:rPr>
              <w:t>Пунктуация в простом и сложном предложениях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7.19</w:t>
            </w:r>
          </w:p>
        </w:tc>
        <w:tc>
          <w:tcPr>
            <w:tcW w:w="7153" w:type="dxa"/>
          </w:tcPr>
          <w:p w:rsidR="00B46373" w:rsidRPr="00CE135B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135B">
              <w:rPr>
                <w:rFonts w:ascii="TimesNewRomanPSMT" w:hAnsi="TimesNewRomanPSMT" w:cs="TimesNewRomanPSMT"/>
                <w:sz w:val="24"/>
                <w:szCs w:val="24"/>
              </w:rPr>
              <w:t>Пунктуационный анализ</w:t>
            </w:r>
          </w:p>
        </w:tc>
      </w:tr>
    </w:tbl>
    <w:p w:rsidR="00F371C7" w:rsidRPr="00FF3FC1" w:rsidRDefault="00F371C7" w:rsidP="000A4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911"/>
      </w:tblGrid>
      <w:tr w:rsidR="00F371C7" w:rsidTr="00F371C7">
        <w:tc>
          <w:tcPr>
            <w:tcW w:w="817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911" w:type="dxa"/>
          </w:tcPr>
          <w:p w:rsidR="00F371C7" w:rsidRP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 w:rsidRPr="00F371C7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Речь</w:t>
            </w:r>
          </w:p>
        </w:tc>
      </w:tr>
      <w:tr w:rsidR="00F371C7" w:rsidTr="00F371C7">
        <w:tc>
          <w:tcPr>
            <w:tcW w:w="817" w:type="dxa"/>
            <w:vMerge w:val="restart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8.1</w:t>
            </w:r>
          </w:p>
        </w:tc>
        <w:tc>
          <w:tcPr>
            <w:tcW w:w="6911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F371C7" w:rsidTr="00F371C7">
        <w:tc>
          <w:tcPr>
            <w:tcW w:w="817" w:type="dxa"/>
            <w:vMerge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8.2</w:t>
            </w:r>
          </w:p>
        </w:tc>
        <w:tc>
          <w:tcPr>
            <w:tcW w:w="6911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Средства связи предложений в  тексте</w:t>
            </w:r>
          </w:p>
        </w:tc>
      </w:tr>
      <w:tr w:rsidR="00F371C7" w:rsidTr="00F371C7">
        <w:tc>
          <w:tcPr>
            <w:tcW w:w="817" w:type="dxa"/>
            <w:vMerge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8.3</w:t>
            </w:r>
          </w:p>
        </w:tc>
        <w:tc>
          <w:tcPr>
            <w:tcW w:w="6911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Стили и функционально-смысловые типы речи</w:t>
            </w:r>
          </w:p>
        </w:tc>
      </w:tr>
      <w:tr w:rsidR="00F371C7" w:rsidTr="00F371C7">
        <w:tc>
          <w:tcPr>
            <w:tcW w:w="817" w:type="dxa"/>
            <w:vMerge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8.4</w:t>
            </w:r>
          </w:p>
        </w:tc>
        <w:tc>
          <w:tcPr>
            <w:tcW w:w="6911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Обзор языковых сре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ексте в зависимости от темы, цели, адресата и ситуации общения</w:t>
            </w:r>
          </w:p>
        </w:tc>
      </w:tr>
      <w:tr w:rsidR="00F371C7" w:rsidTr="00F371C7">
        <w:tc>
          <w:tcPr>
            <w:tcW w:w="817" w:type="dxa"/>
            <w:vMerge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8.5</w:t>
            </w:r>
          </w:p>
        </w:tc>
        <w:tc>
          <w:tcPr>
            <w:tcW w:w="6911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Анализ текста</w:t>
            </w:r>
          </w:p>
        </w:tc>
      </w:tr>
      <w:tr w:rsidR="00F371C7" w:rsidTr="00F371C7">
        <w:tc>
          <w:tcPr>
            <w:tcW w:w="817" w:type="dxa"/>
            <w:vMerge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8.6</w:t>
            </w:r>
          </w:p>
        </w:tc>
        <w:tc>
          <w:tcPr>
            <w:tcW w:w="6911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Создание текстов различных стилей и функционально-смысловых типов речи</w:t>
            </w:r>
          </w:p>
        </w:tc>
      </w:tr>
      <w:tr w:rsidR="00F371C7" w:rsidTr="00F371C7">
        <w:tc>
          <w:tcPr>
            <w:tcW w:w="817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911" w:type="dxa"/>
          </w:tcPr>
          <w:p w:rsidR="00F371C7" w:rsidRP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 w:rsidRPr="00F371C7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Языковые нормы</w:t>
            </w:r>
          </w:p>
        </w:tc>
      </w:tr>
      <w:tr w:rsidR="00F11CCE" w:rsidTr="00F371C7">
        <w:tc>
          <w:tcPr>
            <w:tcW w:w="817" w:type="dxa"/>
            <w:vMerge w:val="restart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9.1</w:t>
            </w:r>
          </w:p>
        </w:tc>
        <w:tc>
          <w:tcPr>
            <w:tcW w:w="6911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Орфоэпические нормы</w:t>
            </w:r>
          </w:p>
        </w:tc>
      </w:tr>
      <w:tr w:rsidR="00F11CCE" w:rsidTr="00F371C7">
        <w:tc>
          <w:tcPr>
            <w:tcW w:w="817" w:type="dxa"/>
            <w:vMerge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9.2</w:t>
            </w:r>
          </w:p>
        </w:tc>
        <w:tc>
          <w:tcPr>
            <w:tcW w:w="6911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Лексические нормы</w:t>
            </w:r>
          </w:p>
        </w:tc>
      </w:tr>
      <w:tr w:rsidR="00F11CCE" w:rsidTr="00F371C7">
        <w:tc>
          <w:tcPr>
            <w:tcW w:w="817" w:type="dxa"/>
            <w:vMerge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9.3</w:t>
            </w:r>
          </w:p>
        </w:tc>
        <w:tc>
          <w:tcPr>
            <w:tcW w:w="6911" w:type="dxa"/>
          </w:tcPr>
          <w:p w:rsidR="00F11CCE" w:rsidRPr="00F371C7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71C7">
              <w:rPr>
                <w:rFonts w:ascii="TimesNewRomanPSMT" w:hAnsi="TimesNewRomanPSMT" w:cs="TimesNewRomanPSMT"/>
                <w:sz w:val="24"/>
                <w:szCs w:val="24"/>
              </w:rPr>
              <w:t>Грамматические нормы (морфологические нормы)</w:t>
            </w:r>
          </w:p>
        </w:tc>
      </w:tr>
      <w:tr w:rsidR="00F11CCE" w:rsidTr="00F371C7">
        <w:tc>
          <w:tcPr>
            <w:tcW w:w="817" w:type="dxa"/>
            <w:vMerge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</w:t>
            </w:r>
          </w:p>
        </w:tc>
        <w:tc>
          <w:tcPr>
            <w:tcW w:w="6911" w:type="dxa"/>
          </w:tcPr>
          <w:p w:rsidR="00F11CCE" w:rsidRPr="00F371C7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71C7">
              <w:rPr>
                <w:rFonts w:ascii="TimesNewRomanPSMT" w:hAnsi="TimesNewRomanPSMT" w:cs="TimesNewRomanPSMT"/>
                <w:sz w:val="24"/>
                <w:szCs w:val="24"/>
              </w:rPr>
              <w:t>Грамматические нормы (синтаксические нормы)</w:t>
            </w:r>
          </w:p>
        </w:tc>
      </w:tr>
      <w:tr w:rsidR="00F371C7" w:rsidTr="00F371C7">
        <w:tc>
          <w:tcPr>
            <w:tcW w:w="817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911" w:type="dxa"/>
          </w:tcPr>
          <w:p w:rsidR="00F371C7" w:rsidRP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 w:rsidRPr="00F371C7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Выразительность русской речи</w:t>
            </w:r>
          </w:p>
        </w:tc>
      </w:tr>
      <w:tr w:rsidR="00F11CCE" w:rsidTr="00F371C7">
        <w:tc>
          <w:tcPr>
            <w:tcW w:w="817" w:type="dxa"/>
            <w:vMerge w:val="restart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10.1</w:t>
            </w:r>
          </w:p>
        </w:tc>
        <w:tc>
          <w:tcPr>
            <w:tcW w:w="6911" w:type="dxa"/>
          </w:tcPr>
          <w:p w:rsidR="00F11CCE" w:rsidRP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1CCE">
              <w:rPr>
                <w:rFonts w:ascii="TimesNewRomanPSMT" w:hAnsi="TimesNewRomanPSMT" w:cs="TimesNewRomanPSMT"/>
                <w:sz w:val="24"/>
                <w:szCs w:val="24"/>
              </w:rPr>
              <w:t>Выразительные средства русской фонетики</w:t>
            </w:r>
          </w:p>
        </w:tc>
      </w:tr>
      <w:tr w:rsidR="00F11CCE" w:rsidTr="00F371C7">
        <w:tc>
          <w:tcPr>
            <w:tcW w:w="817" w:type="dxa"/>
            <w:vMerge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10.2</w:t>
            </w:r>
          </w:p>
        </w:tc>
        <w:tc>
          <w:tcPr>
            <w:tcW w:w="6911" w:type="dxa"/>
          </w:tcPr>
          <w:p w:rsidR="00F11CCE" w:rsidRP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1CCE">
              <w:rPr>
                <w:rFonts w:ascii="TimesNewRomanPSMT" w:hAnsi="TimesNewRomanPSMT" w:cs="TimesNewRomanPSMT"/>
                <w:sz w:val="24"/>
                <w:szCs w:val="24"/>
              </w:rPr>
              <w:t>Выразительные средства словообразования</w:t>
            </w:r>
          </w:p>
        </w:tc>
      </w:tr>
      <w:tr w:rsidR="00F11CCE" w:rsidTr="00F371C7">
        <w:tc>
          <w:tcPr>
            <w:tcW w:w="817" w:type="dxa"/>
            <w:vMerge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10.3</w:t>
            </w:r>
          </w:p>
        </w:tc>
        <w:tc>
          <w:tcPr>
            <w:tcW w:w="6911" w:type="dxa"/>
          </w:tcPr>
          <w:p w:rsidR="00F11CCE" w:rsidRP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1CCE">
              <w:rPr>
                <w:rFonts w:ascii="TimesNewRomanPSMT" w:hAnsi="TimesNewRomanPSMT" w:cs="TimesNewRomanPSMT"/>
                <w:sz w:val="24"/>
                <w:szCs w:val="24"/>
              </w:rPr>
              <w:t>Выразительные средства лексики и фразеологии</w:t>
            </w:r>
          </w:p>
        </w:tc>
      </w:tr>
      <w:tr w:rsidR="00F11CCE" w:rsidTr="00F371C7">
        <w:tc>
          <w:tcPr>
            <w:tcW w:w="817" w:type="dxa"/>
            <w:vMerge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10.4</w:t>
            </w:r>
          </w:p>
        </w:tc>
        <w:tc>
          <w:tcPr>
            <w:tcW w:w="6911" w:type="dxa"/>
          </w:tcPr>
          <w:p w:rsidR="00F11CCE" w:rsidRP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1CCE">
              <w:rPr>
                <w:rFonts w:ascii="TimesNewRomanPSMT" w:hAnsi="TimesNewRomanPSMT" w:cs="TimesNewRomanPSMT"/>
                <w:sz w:val="24"/>
                <w:szCs w:val="24"/>
              </w:rPr>
              <w:t>Выразительные средства грамматики</w:t>
            </w:r>
          </w:p>
        </w:tc>
      </w:tr>
      <w:tr w:rsidR="00F11CCE" w:rsidTr="00F371C7">
        <w:tc>
          <w:tcPr>
            <w:tcW w:w="817" w:type="dxa"/>
            <w:vMerge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10.5</w:t>
            </w:r>
          </w:p>
        </w:tc>
        <w:tc>
          <w:tcPr>
            <w:tcW w:w="6911" w:type="dxa"/>
          </w:tcPr>
          <w:p w:rsidR="00F11CCE" w:rsidRP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1CCE">
              <w:rPr>
                <w:rFonts w:ascii="TimesNewRomanPSMT" w:hAnsi="TimesNewRomanPSMT" w:cs="TimesNewRomanPSMT"/>
                <w:sz w:val="24"/>
                <w:szCs w:val="24"/>
              </w:rPr>
              <w:t>Анализ средств выразительности</w:t>
            </w:r>
          </w:p>
        </w:tc>
      </w:tr>
      <w:tr w:rsidR="00F11CCE" w:rsidTr="00F371C7">
        <w:tc>
          <w:tcPr>
            <w:tcW w:w="817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911" w:type="dxa"/>
          </w:tcPr>
          <w:p w:rsidR="00F11CCE" w:rsidRP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</w:rPr>
            </w:pPr>
            <w:r w:rsidRPr="00F11CCE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Информационна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я</w:t>
            </w:r>
            <w:r w:rsidRPr="00F11CCE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 xml:space="preserve"> обработка текстов различных стилей и жанров</w:t>
            </w:r>
          </w:p>
        </w:tc>
      </w:tr>
    </w:tbl>
    <w:p w:rsidR="00F11CCE" w:rsidRPr="0080360E" w:rsidRDefault="00F371C7" w:rsidP="000A4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11CCE" w:rsidRPr="00D33466" w:rsidRDefault="00F11CCE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</w:t>
      </w:r>
      <w:r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>Раздел 2. Перечень требований к уровню подготовки,</w:t>
      </w:r>
    </w:p>
    <w:p w:rsidR="00EE2C8B" w:rsidRPr="00B375C9" w:rsidRDefault="00F11CCE" w:rsidP="008036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>проверяемому на едином государственном экзамене по русскому языку</w:t>
      </w:r>
      <w:r w:rsidR="00EE2C8B"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80360E" w:rsidRPr="00B375C9" w:rsidRDefault="0080360E" w:rsidP="008036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11E68" w:rsidRPr="00D33466" w:rsidRDefault="00EE2C8B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F11CCE"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11CCE"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Доминирующей идеей государственного образовательного стандарта по русскому языку является </w:t>
      </w:r>
      <w:r w:rsidR="00F11CCE"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>речевое и интеллектуальное развитие</w:t>
      </w:r>
      <w:r w:rsidR="00F11CCE"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 учащихся</w:t>
      </w:r>
      <w:r w:rsidRPr="00D33466">
        <w:rPr>
          <w:rFonts w:ascii="TimesNewRomanPS-BoldMT" w:hAnsi="TimesNewRomanPS-BoldMT" w:cs="TimesNewRomanPS-BoldMT"/>
          <w:bCs/>
          <w:sz w:val="24"/>
          <w:szCs w:val="24"/>
        </w:rPr>
        <w:t>. Особое внимание в старшей школе уделяется целенаправленному развитию таких умений и навыков, которые необходимы для обучения в вузе и в будущей профессиональной деятельности выпускников</w:t>
      </w:r>
      <w:proofErr w:type="gramStart"/>
      <w:r w:rsidR="00321BF4"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D33466">
        <w:rPr>
          <w:rFonts w:ascii="TimesNewRomanPS-BoldMT" w:hAnsi="TimesNewRomanPS-BoldMT" w:cs="TimesNewRomanPS-BoldMT"/>
          <w:bCs/>
          <w:sz w:val="24"/>
          <w:szCs w:val="24"/>
        </w:rPr>
        <w:t>:</w:t>
      </w:r>
      <w:proofErr w:type="gramEnd"/>
      <w:r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 навыков различных видов чтения учебно-научных текстов</w:t>
      </w:r>
      <w:r w:rsidR="00321BF4"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; навыков создания собственных текстов и т.п. </w:t>
      </w:r>
      <w:proofErr w:type="gramStart"/>
      <w:r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Сопоставительный анализ требований к уровню подготовки выпускников, изучающих русский язык на базовом и профильном уровнях, показал, что результаты изучении предмета на этих уровнях при формировании </w:t>
      </w:r>
      <w:r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>основных</w:t>
      </w:r>
      <w:r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 видов речевой деятельности</w:t>
      </w:r>
      <w:r w:rsidR="00321BF4"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 (слушания и чтения,</w:t>
      </w:r>
      <w:r w:rsidR="00321BF4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321BF4" w:rsidRPr="00D33466">
        <w:rPr>
          <w:rFonts w:ascii="TimesNewRomanPS-BoldMT" w:hAnsi="TimesNewRomanPS-BoldMT" w:cs="TimesNewRomanPS-BoldMT"/>
          <w:bCs/>
          <w:sz w:val="24"/>
          <w:szCs w:val="24"/>
        </w:rPr>
        <w:t>письма и говорения</w:t>
      </w:r>
      <w:r w:rsidR="00321BF4">
        <w:rPr>
          <w:rFonts w:ascii="TimesNewRomanPS-BoldMT" w:hAnsi="TimesNewRomanPS-BoldMT" w:cs="TimesNewRomanPS-BoldMT"/>
          <w:bCs/>
          <w:sz w:val="28"/>
          <w:szCs w:val="28"/>
        </w:rPr>
        <w:t xml:space="preserve">) </w:t>
      </w:r>
      <w:r w:rsidR="00321BF4"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>совпадают.</w:t>
      </w:r>
      <w:proofErr w:type="gramEnd"/>
      <w:r w:rsidR="00321BF4"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 Это означает, что важнейшие коммуникативные умения, проверяемые на экзамене, являются общими как для экзаменуемых, изучавших русский зык на базовом уровне, так и для тех выпускников, которые учились в профильных классах.</w:t>
      </w:r>
    </w:p>
    <w:p w:rsidR="00F11E68" w:rsidRPr="0080360E" w:rsidRDefault="00F11E68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894"/>
        <w:gridCol w:w="5835"/>
        <w:gridCol w:w="2566"/>
      </w:tblGrid>
      <w:tr w:rsidR="00F11E68" w:rsidTr="0080360E">
        <w:tc>
          <w:tcPr>
            <w:tcW w:w="1366" w:type="dxa"/>
            <w:gridSpan w:val="2"/>
          </w:tcPr>
          <w:p w:rsidR="00F11E68" w:rsidRPr="00AD0923" w:rsidRDefault="00F11E68" w:rsidP="00F11E6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AD0923">
              <w:rPr>
                <w:rFonts w:ascii="TimesNewRomanPSMT" w:hAnsi="TimesNewRomanPSMT" w:cs="TimesNewRomanPSMT"/>
                <w:b/>
              </w:rPr>
              <w:t>Код требования</w:t>
            </w:r>
          </w:p>
        </w:tc>
        <w:tc>
          <w:tcPr>
            <w:tcW w:w="5835" w:type="dxa"/>
          </w:tcPr>
          <w:p w:rsidR="00AD0923" w:rsidRPr="00AD0923" w:rsidRDefault="00AD0923" w:rsidP="00AD09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D092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Умения, проверяемые на </w:t>
            </w:r>
            <w:proofErr w:type="gramStart"/>
            <w:r w:rsidRPr="00AD092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едином</w:t>
            </w:r>
            <w:proofErr w:type="gramEnd"/>
          </w:p>
          <w:p w:rsidR="00F11E68" w:rsidRDefault="00AD0923" w:rsidP="00AD09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AD092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государственном экзамене</w:t>
            </w:r>
            <w:proofErr w:type="gramStart"/>
            <w:r w:rsidRPr="00AD092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66" w:type="dxa"/>
          </w:tcPr>
          <w:p w:rsidR="00F11E68" w:rsidRDefault="00AD0923" w:rsidP="0080360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AD0923">
              <w:rPr>
                <w:rFonts w:ascii="TimesNewRomanPS-BoldMT" w:hAnsi="TimesNewRomanPS-BoldMT" w:cs="TimesNewRomanPS-BoldMT"/>
                <w:b/>
                <w:bCs/>
              </w:rPr>
              <w:t>Уровень стандарта</w:t>
            </w:r>
            <w:r w:rsidR="0080360E" w:rsidRPr="0080360E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AD0923">
              <w:rPr>
                <w:rFonts w:ascii="TimesNewRomanPS-BoldMT" w:hAnsi="TimesNewRomanPS-BoldMT" w:cs="TimesNewRomanPS-BoldMT"/>
                <w:b/>
                <w:bCs/>
              </w:rPr>
              <w:t>среднего (полного)</w:t>
            </w:r>
            <w:r w:rsidR="0080360E" w:rsidRPr="0080360E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AD0923">
              <w:rPr>
                <w:rFonts w:ascii="TimesNewRomanPS-BoldMT" w:hAnsi="TimesNewRomanPS-BoldMT" w:cs="TimesNewRomanPS-BoldMT"/>
                <w:b/>
                <w:bCs/>
              </w:rPr>
              <w:t>образования по</w:t>
            </w:r>
            <w:r w:rsidR="0080360E" w:rsidRPr="0080360E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AD0923">
              <w:rPr>
                <w:rFonts w:ascii="TimesNewRomanPS-BoldMT" w:hAnsi="TimesNewRomanPS-BoldMT" w:cs="TimesNewRomanPS-BoldMT"/>
                <w:b/>
                <w:bCs/>
              </w:rPr>
              <w:t>русскому языку</w:t>
            </w:r>
          </w:p>
        </w:tc>
      </w:tr>
      <w:tr w:rsidR="007554A8" w:rsidTr="0080360E">
        <w:tc>
          <w:tcPr>
            <w:tcW w:w="472" w:type="dxa"/>
          </w:tcPr>
          <w:p w:rsidR="00F11E68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835" w:type="dxa"/>
          </w:tcPr>
          <w:p w:rsidR="00F11E68" w:rsidRPr="00AD0923" w:rsidRDefault="00AD0923" w:rsidP="00AD09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D092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различные виды анализа</w:t>
            </w:r>
          </w:p>
        </w:tc>
        <w:tc>
          <w:tcPr>
            <w:tcW w:w="2566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1.1</w:t>
            </w:r>
          </w:p>
        </w:tc>
        <w:tc>
          <w:tcPr>
            <w:tcW w:w="5835" w:type="dxa"/>
          </w:tcPr>
          <w:p w:rsidR="00F11E68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Проводить различные виды анализа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языковых единиц, языковых явлений и фактов</w:t>
            </w:r>
          </w:p>
        </w:tc>
        <w:tc>
          <w:tcPr>
            <w:tcW w:w="2566" w:type="dxa"/>
          </w:tcPr>
          <w:p w:rsidR="00AD0923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F11E68" w:rsidRPr="00AD0923" w:rsidRDefault="00AD0923" w:rsidP="00AD09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1.2</w:t>
            </w:r>
          </w:p>
        </w:tc>
        <w:tc>
          <w:tcPr>
            <w:tcW w:w="5835" w:type="dxa"/>
          </w:tcPr>
          <w:p w:rsidR="00F11E68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Осуществлять речевой самоконтроль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оценивать письменные высказывания 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точки зрения языкового оформления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эффективности достижения поставленных коммуникативных задач</w:t>
            </w:r>
          </w:p>
        </w:tc>
        <w:tc>
          <w:tcPr>
            <w:tcW w:w="2566" w:type="dxa"/>
          </w:tcPr>
          <w:p w:rsidR="00AD0923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F11E68" w:rsidRPr="00AD0923" w:rsidRDefault="00AD0923" w:rsidP="00AD09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1.3</w:t>
            </w:r>
          </w:p>
        </w:tc>
        <w:tc>
          <w:tcPr>
            <w:tcW w:w="5835" w:type="dxa"/>
          </w:tcPr>
          <w:p w:rsidR="00F11E68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 xml:space="preserve">Разграничивать варианты норм,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предна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меренные и непреднамеренные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нарушения языковых норм</w:t>
            </w:r>
          </w:p>
        </w:tc>
        <w:tc>
          <w:tcPr>
            <w:tcW w:w="2566" w:type="dxa"/>
          </w:tcPr>
          <w:p w:rsidR="00F11E68" w:rsidRPr="00AD0923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1.4</w:t>
            </w:r>
          </w:p>
        </w:tc>
        <w:tc>
          <w:tcPr>
            <w:tcW w:w="5835" w:type="dxa"/>
          </w:tcPr>
          <w:p w:rsidR="00F11E68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Проводить лингвистический анализ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учебно-научных, деловых, публицистических, разговорных и художественных текстов</w:t>
            </w:r>
          </w:p>
        </w:tc>
        <w:tc>
          <w:tcPr>
            <w:tcW w:w="2566" w:type="dxa"/>
          </w:tcPr>
          <w:p w:rsidR="00AD0923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F11E68" w:rsidRPr="00AD0923" w:rsidRDefault="00AD0923" w:rsidP="00AD09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1.5</w:t>
            </w:r>
          </w:p>
        </w:tc>
        <w:tc>
          <w:tcPr>
            <w:tcW w:w="5835" w:type="dxa"/>
          </w:tcPr>
          <w:p w:rsidR="00F11E68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Объяснять взаимосвязь фактов языка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 xml:space="preserve">истории,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языка и культуры русского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других народов</w:t>
            </w:r>
          </w:p>
        </w:tc>
        <w:tc>
          <w:tcPr>
            <w:tcW w:w="2566" w:type="dxa"/>
          </w:tcPr>
          <w:p w:rsidR="00F11E68" w:rsidRPr="00AD0923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Профильный</w:t>
            </w:r>
          </w:p>
        </w:tc>
      </w:tr>
      <w:tr w:rsidR="007554A8" w:rsidTr="0080360E">
        <w:tc>
          <w:tcPr>
            <w:tcW w:w="472" w:type="dxa"/>
          </w:tcPr>
          <w:p w:rsidR="00F11E68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2</w:t>
            </w:r>
          </w:p>
        </w:tc>
        <w:tc>
          <w:tcPr>
            <w:tcW w:w="894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835" w:type="dxa"/>
          </w:tcPr>
          <w:p w:rsidR="00F11E68" w:rsidRPr="00AD0923" w:rsidRDefault="00AD0923" w:rsidP="00AD09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b/>
                <w:sz w:val="24"/>
                <w:szCs w:val="24"/>
              </w:rPr>
              <w:t>чтение</w:t>
            </w:r>
          </w:p>
        </w:tc>
        <w:tc>
          <w:tcPr>
            <w:tcW w:w="2566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7554A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2.1</w:t>
            </w:r>
          </w:p>
        </w:tc>
        <w:tc>
          <w:tcPr>
            <w:tcW w:w="5835" w:type="dxa"/>
          </w:tcPr>
          <w:p w:rsidR="00F11E68" w:rsidRPr="007554A8" w:rsidRDefault="007554A8" w:rsidP="00D334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Использовать основные виды чтени</w:t>
            </w:r>
            <w:proofErr w:type="gramStart"/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я(</w:t>
            </w:r>
            <w:proofErr w:type="gramEnd"/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ознакомительно-изучающее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ознакомительно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реферативное и др.)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зависимости от коммуникативной задачи</w:t>
            </w:r>
          </w:p>
        </w:tc>
        <w:tc>
          <w:tcPr>
            <w:tcW w:w="2566" w:type="dxa"/>
          </w:tcPr>
          <w:p w:rsidR="007554A8" w:rsidRPr="007554A8" w:rsidRDefault="007554A8" w:rsidP="007554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F11E68" w:rsidRPr="007554A8" w:rsidRDefault="007554A8" w:rsidP="007554A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7554A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2.2</w:t>
            </w:r>
          </w:p>
        </w:tc>
        <w:tc>
          <w:tcPr>
            <w:tcW w:w="5835" w:type="dxa"/>
          </w:tcPr>
          <w:p w:rsidR="00F11E68" w:rsidRPr="007554A8" w:rsidRDefault="007554A8" w:rsidP="007554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Извлекать необходимую информацию 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различных источников: учебно-научных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текстов, справочной литературы, средств массовой информации</w:t>
            </w:r>
          </w:p>
        </w:tc>
        <w:tc>
          <w:tcPr>
            <w:tcW w:w="2566" w:type="dxa"/>
          </w:tcPr>
          <w:p w:rsidR="007554A8" w:rsidRPr="007554A8" w:rsidRDefault="007554A8" w:rsidP="007554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F11E68" w:rsidRPr="007554A8" w:rsidRDefault="007554A8" w:rsidP="007554A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7554A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2.3</w:t>
            </w:r>
          </w:p>
        </w:tc>
        <w:tc>
          <w:tcPr>
            <w:tcW w:w="5835" w:type="dxa"/>
          </w:tcPr>
          <w:p w:rsidR="00F11E68" w:rsidRPr="007554A8" w:rsidRDefault="007554A8" w:rsidP="007554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Владеть основными приёмами информационной переработки письменного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текста</w:t>
            </w:r>
          </w:p>
        </w:tc>
        <w:tc>
          <w:tcPr>
            <w:tcW w:w="2566" w:type="dxa"/>
          </w:tcPr>
          <w:p w:rsidR="007554A8" w:rsidRPr="007554A8" w:rsidRDefault="007554A8" w:rsidP="007554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F11E68" w:rsidRPr="007554A8" w:rsidRDefault="007554A8" w:rsidP="007554A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A80512" w:rsidTr="0080360E">
        <w:tc>
          <w:tcPr>
            <w:tcW w:w="472" w:type="dxa"/>
          </w:tcPr>
          <w:p w:rsidR="00A80512" w:rsidRDefault="00A80512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894" w:type="dxa"/>
          </w:tcPr>
          <w:p w:rsidR="00A80512" w:rsidRDefault="00A80512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835" w:type="dxa"/>
          </w:tcPr>
          <w:p w:rsidR="00A80512" w:rsidRPr="00A80512" w:rsidRDefault="00A80512" w:rsidP="00A805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80512">
              <w:rPr>
                <w:rFonts w:ascii="TimesNewRomanPSMT" w:hAnsi="TimesNewRomanPSMT" w:cs="TimesNewRomanPSMT"/>
                <w:b/>
                <w:sz w:val="24"/>
                <w:szCs w:val="24"/>
              </w:rPr>
              <w:t>письмо</w:t>
            </w:r>
          </w:p>
        </w:tc>
        <w:tc>
          <w:tcPr>
            <w:tcW w:w="2566" w:type="dxa"/>
          </w:tcPr>
          <w:p w:rsidR="00A80512" w:rsidRPr="007554A8" w:rsidRDefault="00A80512" w:rsidP="007554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80512" w:rsidTr="0080360E">
        <w:tc>
          <w:tcPr>
            <w:tcW w:w="472" w:type="dxa"/>
          </w:tcPr>
          <w:p w:rsidR="00A80512" w:rsidRDefault="00A80512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A80512" w:rsidRDefault="00A80512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3.1</w:t>
            </w:r>
          </w:p>
        </w:tc>
        <w:tc>
          <w:tcPr>
            <w:tcW w:w="5835" w:type="dxa"/>
          </w:tcPr>
          <w:p w:rsidR="00A80512" w:rsidRPr="00554296" w:rsidRDefault="00A80512" w:rsidP="00A80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Создавать письменные высказывания</w:t>
            </w:r>
            <w:r w:rsidR="005542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различных типов и жанров в социально</w:t>
            </w:r>
            <w:r w:rsidR="00554296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 xml:space="preserve">культурной, учебно-научной </w:t>
            </w:r>
            <w:r w:rsidR="00D33466" w:rsidRPr="00D3346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(на материале изучаемых учебных дисциплин</w:t>
            </w:r>
            <w:r w:rsidR="00554296">
              <w:rPr>
                <w:rFonts w:ascii="TimesNewRomanPSMT" w:hAnsi="TimesNewRomanPSMT" w:cs="TimesNewRomanPSMT"/>
                <w:sz w:val="24"/>
                <w:szCs w:val="24"/>
              </w:rPr>
              <w:t xml:space="preserve">),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деловой сферах общения; редактировать</w:t>
            </w:r>
            <w:proofErr w:type="gramEnd"/>
          </w:p>
          <w:p w:rsidR="00A80512" w:rsidRPr="00554296" w:rsidRDefault="00A80512" w:rsidP="00A80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собственный текст</w:t>
            </w:r>
          </w:p>
        </w:tc>
        <w:tc>
          <w:tcPr>
            <w:tcW w:w="2566" w:type="dxa"/>
          </w:tcPr>
          <w:p w:rsidR="00554296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A80512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A80512" w:rsidTr="0080360E">
        <w:tc>
          <w:tcPr>
            <w:tcW w:w="472" w:type="dxa"/>
          </w:tcPr>
          <w:p w:rsidR="00A80512" w:rsidRDefault="00A80512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A80512" w:rsidRDefault="00554296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3.2</w:t>
            </w:r>
          </w:p>
        </w:tc>
        <w:tc>
          <w:tcPr>
            <w:tcW w:w="5835" w:type="dxa"/>
          </w:tcPr>
          <w:p w:rsidR="00A80512" w:rsidRPr="00554296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Применять в практике речевого общения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основные орфоэпические, лексические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грамматические нормы современного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русского литературного языка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использовать в собственной речевой практике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синонимические ресурсы русского языка</w:t>
            </w:r>
          </w:p>
        </w:tc>
        <w:tc>
          <w:tcPr>
            <w:tcW w:w="2566" w:type="dxa"/>
          </w:tcPr>
          <w:p w:rsidR="00554296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A80512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A80512" w:rsidTr="0080360E">
        <w:tc>
          <w:tcPr>
            <w:tcW w:w="472" w:type="dxa"/>
          </w:tcPr>
          <w:p w:rsidR="00A80512" w:rsidRDefault="00A80512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A80512" w:rsidRDefault="00554296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3.3</w:t>
            </w:r>
          </w:p>
        </w:tc>
        <w:tc>
          <w:tcPr>
            <w:tcW w:w="5835" w:type="dxa"/>
          </w:tcPr>
          <w:p w:rsidR="00A80512" w:rsidRPr="00554296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Применять в практике письма орфографические и пунктуационные нормы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современного русского литературного языка</w:t>
            </w:r>
          </w:p>
        </w:tc>
        <w:tc>
          <w:tcPr>
            <w:tcW w:w="2566" w:type="dxa"/>
          </w:tcPr>
          <w:p w:rsidR="00554296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A80512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A80512" w:rsidTr="0080360E">
        <w:tc>
          <w:tcPr>
            <w:tcW w:w="472" w:type="dxa"/>
          </w:tcPr>
          <w:p w:rsidR="00A80512" w:rsidRDefault="00A80512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A80512" w:rsidRDefault="00554296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3.4</w:t>
            </w:r>
          </w:p>
        </w:tc>
        <w:tc>
          <w:tcPr>
            <w:tcW w:w="5835" w:type="dxa"/>
          </w:tcPr>
          <w:p w:rsidR="00A80512" w:rsidRPr="00554296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Соблюдать нормы речевого поведения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различных сферах и ситуациях общения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в том числе при обсуждении дискуссионных проблем</w:t>
            </w:r>
          </w:p>
        </w:tc>
        <w:tc>
          <w:tcPr>
            <w:tcW w:w="2566" w:type="dxa"/>
          </w:tcPr>
          <w:p w:rsidR="00554296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A80512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</w:tbl>
    <w:p w:rsidR="00F11E68" w:rsidRDefault="00F11E68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</w:p>
    <w:p w:rsidR="00886A86" w:rsidRPr="00886A86" w:rsidRDefault="00886A86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Pr="00F11CCE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A80512" w:rsidRPr="00F11CCE" w:rsidSect="0080360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3D"/>
    <w:rsid w:val="00013740"/>
    <w:rsid w:val="00082D0E"/>
    <w:rsid w:val="000A4A65"/>
    <w:rsid w:val="0013363D"/>
    <w:rsid w:val="0020278F"/>
    <w:rsid w:val="002947A0"/>
    <w:rsid w:val="002B167E"/>
    <w:rsid w:val="00321BF4"/>
    <w:rsid w:val="00554296"/>
    <w:rsid w:val="007554A8"/>
    <w:rsid w:val="0080360E"/>
    <w:rsid w:val="0080744D"/>
    <w:rsid w:val="00825F58"/>
    <w:rsid w:val="00886A86"/>
    <w:rsid w:val="008E3D60"/>
    <w:rsid w:val="00985CBE"/>
    <w:rsid w:val="00A80512"/>
    <w:rsid w:val="00AD0923"/>
    <w:rsid w:val="00B01453"/>
    <w:rsid w:val="00B375C9"/>
    <w:rsid w:val="00B46373"/>
    <w:rsid w:val="00BE572E"/>
    <w:rsid w:val="00C85090"/>
    <w:rsid w:val="00CE135B"/>
    <w:rsid w:val="00D33466"/>
    <w:rsid w:val="00DB5129"/>
    <w:rsid w:val="00DF03B6"/>
    <w:rsid w:val="00EB1E91"/>
    <w:rsid w:val="00EE2C8B"/>
    <w:rsid w:val="00F11CCE"/>
    <w:rsid w:val="00F11E68"/>
    <w:rsid w:val="00F371C7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Специалист1</cp:lastModifiedBy>
  <cp:revision>3</cp:revision>
  <dcterms:created xsi:type="dcterms:W3CDTF">2012-09-10T07:43:00Z</dcterms:created>
  <dcterms:modified xsi:type="dcterms:W3CDTF">2013-10-02T12:11:00Z</dcterms:modified>
</cp:coreProperties>
</file>